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7B29C9" w:rsidRDefault="004218E8" w:rsidP="007B29C9">
      <w:pPr>
        <w:tabs>
          <w:tab w:val="left" w:pos="793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8E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207AE" w:rsidRDefault="007B29C9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722F08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722F0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сентября 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722F08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7B2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7B29C9">
              <w:rPr>
                <w:rFonts w:ascii="Times New Roman" w:hAnsi="Times New Roman"/>
                <w:sz w:val="28"/>
                <w:szCs w:val="28"/>
              </w:rPr>
              <w:t>поселения Антоновка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29C9">
        <w:rPr>
          <w:rFonts w:ascii="Times New Roman" w:hAnsi="Times New Roman"/>
          <w:sz w:val="28"/>
          <w:szCs w:val="28"/>
        </w:rPr>
        <w:t xml:space="preserve">сельского поселения Антоновка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9C9">
        <w:rPr>
          <w:rFonts w:ascii="Times New Roman" w:hAnsi="Times New Roman"/>
          <w:sz w:val="28"/>
          <w:szCs w:val="28"/>
        </w:rPr>
        <w:t>Антоновка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7B29C9">
        <w:rPr>
          <w:rFonts w:ascii="Times New Roman" w:hAnsi="Times New Roman" w:cs="Times New Roman"/>
          <w:sz w:val="28"/>
          <w:szCs w:val="28"/>
        </w:rPr>
        <w:t>К.Е.Долгаев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7B29C9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Антоновка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22F0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2F08">
        <w:rPr>
          <w:rFonts w:ascii="Times New Roman" w:hAnsi="Times New Roman" w:cs="Times New Roman"/>
          <w:sz w:val="28"/>
          <w:szCs w:val="28"/>
        </w:rPr>
        <w:t>05</w:t>
      </w:r>
      <w:r w:rsidR="00722F08" w:rsidRPr="00722F08">
        <w:rPr>
          <w:rFonts w:ascii="Times New Roman" w:hAnsi="Times New Roman" w:cs="Times New Roman"/>
          <w:sz w:val="28"/>
          <w:szCs w:val="28"/>
        </w:rPr>
        <w:t>.09.2017</w:t>
      </w:r>
      <w:r w:rsidR="00722F08">
        <w:rPr>
          <w:rFonts w:ascii="Times New Roman" w:hAnsi="Times New Roman" w:cs="Times New Roman"/>
          <w:sz w:val="28"/>
          <w:szCs w:val="28"/>
        </w:rPr>
        <w:t>г</w:t>
      </w:r>
      <w:r w:rsidR="00722F08" w:rsidRPr="00722F08">
        <w:rPr>
          <w:rFonts w:ascii="Times New Roman" w:hAnsi="Times New Roman" w:cs="Times New Roman"/>
          <w:sz w:val="28"/>
          <w:szCs w:val="28"/>
        </w:rPr>
        <w:t>.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B29C9">
        <w:rPr>
          <w:rFonts w:ascii="Times New Roman" w:hAnsi="Times New Roman"/>
          <w:b/>
          <w:sz w:val="28"/>
          <w:szCs w:val="28"/>
        </w:rPr>
        <w:t>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получения муниципальными служащими администрации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7B29C9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миновании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EB534D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Антоновка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4D">
        <w:rPr>
          <w:rFonts w:ascii="Times New Roman" w:hAnsi="Times New Roman"/>
          <w:sz w:val="28"/>
          <w:szCs w:val="28"/>
        </w:rPr>
        <w:t>сельского поселения Антоновка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______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указанной  деятельности  не  повлечет  за  собой  конфликта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предусмотренные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27" w:rsidRDefault="00690427" w:rsidP="00676222">
      <w:pPr>
        <w:spacing w:after="0"/>
      </w:pPr>
      <w:r>
        <w:separator/>
      </w:r>
    </w:p>
  </w:endnote>
  <w:endnote w:type="continuationSeparator" w:id="1">
    <w:p w:rsidR="00690427" w:rsidRDefault="0069042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27" w:rsidRDefault="00690427" w:rsidP="00676222">
      <w:pPr>
        <w:spacing w:after="0"/>
      </w:pPr>
      <w:r>
        <w:separator/>
      </w:r>
    </w:p>
  </w:footnote>
  <w:footnote w:type="continuationSeparator" w:id="1">
    <w:p w:rsidR="00690427" w:rsidRDefault="0069042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18E8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0C9D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0427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2F08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29C9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34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97C9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3CC0-1812-4B73-901E-AA61CCBE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21</cp:revision>
  <cp:lastPrinted>2017-09-05T12:20:00Z</cp:lastPrinted>
  <dcterms:created xsi:type="dcterms:W3CDTF">2017-01-31T11:11:00Z</dcterms:created>
  <dcterms:modified xsi:type="dcterms:W3CDTF">2017-09-05T12:21:00Z</dcterms:modified>
</cp:coreProperties>
</file>